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A67" w:rsidRPr="004753FC" w:rsidRDefault="00FA4A67" w:rsidP="0093536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753FC">
        <w:rPr>
          <w:b/>
          <w:sz w:val="24"/>
          <w:szCs w:val="24"/>
        </w:rPr>
        <w:t>Ecole doctorale n°509 « Sociétés méditerranéennes et sciences humaines »</w:t>
      </w:r>
    </w:p>
    <w:p w:rsidR="00FA4A67" w:rsidRPr="004753FC" w:rsidRDefault="00FA4A67" w:rsidP="0093536E">
      <w:pPr>
        <w:spacing w:after="0"/>
        <w:jc w:val="center"/>
        <w:rPr>
          <w:b/>
          <w:sz w:val="24"/>
          <w:szCs w:val="24"/>
        </w:rPr>
      </w:pPr>
      <w:r w:rsidRPr="004753FC">
        <w:rPr>
          <w:b/>
          <w:sz w:val="24"/>
          <w:szCs w:val="24"/>
        </w:rPr>
        <w:t>Mode d’emploi pour renseigner le Portfolio</w:t>
      </w:r>
    </w:p>
    <w:p w:rsidR="00FA4A67" w:rsidRDefault="00FA4A67" w:rsidP="00FA4A67">
      <w:pPr>
        <w:spacing w:after="0"/>
        <w:jc w:val="center"/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4531"/>
        <w:gridCol w:w="6096"/>
      </w:tblGrid>
      <w:tr w:rsidR="0093536E" w:rsidRPr="0093536E" w:rsidTr="0093536E">
        <w:tc>
          <w:tcPr>
            <w:tcW w:w="10627" w:type="dxa"/>
            <w:gridSpan w:val="2"/>
            <w:shd w:val="clear" w:color="auto" w:fill="FFC000"/>
          </w:tcPr>
          <w:p w:rsidR="0093536E" w:rsidRPr="00783D89" w:rsidRDefault="0093536E" w:rsidP="0093536E">
            <w:pPr>
              <w:jc w:val="center"/>
              <w:rPr>
                <w:b/>
              </w:rPr>
            </w:pPr>
            <w:r w:rsidRPr="004753FC">
              <w:rPr>
                <w:b/>
              </w:rPr>
              <w:t>UNITE DE FORMATION DISCIPLINAIRE</w:t>
            </w:r>
            <w:r w:rsidRPr="004753FC">
              <w:t xml:space="preserve"> : </w:t>
            </w:r>
            <w:r w:rsidRPr="00783D89">
              <w:rPr>
                <w:b/>
              </w:rPr>
              <w:t>30 heures à valider au choix</w:t>
            </w:r>
          </w:p>
          <w:p w:rsidR="0093536E" w:rsidRPr="004753FC" w:rsidRDefault="0093536E" w:rsidP="0093536E">
            <w:pPr>
              <w:jc w:val="center"/>
            </w:pPr>
            <w:r w:rsidRPr="004753FC">
              <w:t>Joindre une attestation de présence signée par le directeur de thèse ou directeur de laboratoire</w:t>
            </w:r>
          </w:p>
        </w:tc>
      </w:tr>
      <w:tr w:rsidR="00FA4A67" w:rsidRPr="0093536E" w:rsidTr="00FD59A5">
        <w:tc>
          <w:tcPr>
            <w:tcW w:w="4531" w:type="dxa"/>
            <w:shd w:val="clear" w:color="auto" w:fill="FFC000"/>
          </w:tcPr>
          <w:p w:rsidR="00FA4A67" w:rsidRPr="00FD59A5" w:rsidRDefault="00FA4A67" w:rsidP="00FA4A67">
            <w:pPr>
              <w:jc w:val="center"/>
              <w:rPr>
                <w:b/>
              </w:rPr>
            </w:pPr>
            <w:r w:rsidRPr="00FD59A5">
              <w:rPr>
                <w:b/>
              </w:rPr>
              <w:t>Module</w:t>
            </w:r>
          </w:p>
        </w:tc>
        <w:tc>
          <w:tcPr>
            <w:tcW w:w="6096" w:type="dxa"/>
            <w:shd w:val="clear" w:color="auto" w:fill="FFC000"/>
          </w:tcPr>
          <w:p w:rsidR="00FA4A67" w:rsidRPr="00FD59A5" w:rsidRDefault="00FA4A67" w:rsidP="00FA4A67">
            <w:pPr>
              <w:jc w:val="center"/>
              <w:rPr>
                <w:b/>
              </w:rPr>
            </w:pPr>
            <w:r w:rsidRPr="00FD59A5">
              <w:rPr>
                <w:b/>
              </w:rPr>
              <w:t>Comment calculer le nombre d’heures validées</w:t>
            </w:r>
          </w:p>
        </w:tc>
      </w:tr>
      <w:tr w:rsidR="00FA4A67" w:rsidRPr="0093536E" w:rsidTr="004753FC">
        <w:tc>
          <w:tcPr>
            <w:tcW w:w="4531" w:type="dxa"/>
            <w:shd w:val="clear" w:color="auto" w:fill="FFE599" w:themeFill="accent4" w:themeFillTint="66"/>
          </w:tcPr>
          <w:p w:rsidR="00FA4A67" w:rsidRPr="0093536E" w:rsidRDefault="00FA4A67" w:rsidP="00FA4A67">
            <w:pPr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Colloque</w:t>
            </w:r>
          </w:p>
          <w:p w:rsidR="00E1284F" w:rsidRPr="0093536E" w:rsidRDefault="00E1284F" w:rsidP="00FA4A67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(en France ou à l’étranger)</w:t>
            </w:r>
          </w:p>
        </w:tc>
        <w:tc>
          <w:tcPr>
            <w:tcW w:w="6096" w:type="dxa"/>
          </w:tcPr>
          <w:p w:rsidR="00FA4A67" w:rsidRPr="0093536E" w:rsidRDefault="00E1284F" w:rsidP="00FA4A67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Un colloque qui se déroule sur ou moins 2 jours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="00357266" w:rsidRPr="0093536E">
              <w:rPr>
                <w:b/>
                <w:sz w:val="20"/>
                <w:szCs w:val="20"/>
              </w:rPr>
              <w:t>6h</w:t>
            </w:r>
            <w:r w:rsidRPr="0093536E">
              <w:rPr>
                <w:sz w:val="20"/>
                <w:szCs w:val="20"/>
              </w:rPr>
              <w:t xml:space="preserve"> maximum</w:t>
            </w:r>
          </w:p>
          <w:p w:rsidR="00E1284F" w:rsidRPr="0093536E" w:rsidRDefault="00E1284F" w:rsidP="00767631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Un colloque d’une durée inférieure à 2 jours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="00357266" w:rsidRPr="0093536E">
              <w:rPr>
                <w:b/>
                <w:sz w:val="20"/>
                <w:szCs w:val="20"/>
              </w:rPr>
              <w:t xml:space="preserve">3h </w:t>
            </w:r>
            <w:r w:rsidRPr="0093536E">
              <w:rPr>
                <w:sz w:val="20"/>
                <w:szCs w:val="20"/>
              </w:rPr>
              <w:t>maximum</w:t>
            </w:r>
          </w:p>
        </w:tc>
      </w:tr>
      <w:tr w:rsidR="00FA4A67" w:rsidRPr="0093536E" w:rsidTr="004753FC">
        <w:tc>
          <w:tcPr>
            <w:tcW w:w="4531" w:type="dxa"/>
            <w:shd w:val="clear" w:color="auto" w:fill="FFE599" w:themeFill="accent4" w:themeFillTint="66"/>
          </w:tcPr>
          <w:p w:rsidR="00FA4A67" w:rsidRPr="0093536E" w:rsidRDefault="00D06180" w:rsidP="00FA4A67">
            <w:pPr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Conférence</w:t>
            </w:r>
          </w:p>
          <w:p w:rsidR="00D06180" w:rsidRPr="0093536E" w:rsidRDefault="00D06180" w:rsidP="00D06180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Les conférences en lien direct avec la spécialité du doctorant ne doivent pas dépasser le volume horaire de 8 heures.</w:t>
            </w:r>
          </w:p>
        </w:tc>
        <w:tc>
          <w:tcPr>
            <w:tcW w:w="6096" w:type="dxa"/>
          </w:tcPr>
          <w:p w:rsidR="00D06180" w:rsidRPr="0093536E" w:rsidRDefault="00D06180" w:rsidP="00FA4A67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Une conférence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="00357266" w:rsidRPr="0093536E">
              <w:rPr>
                <w:b/>
                <w:sz w:val="20"/>
                <w:szCs w:val="20"/>
              </w:rPr>
              <w:t xml:space="preserve">2h </w:t>
            </w:r>
            <w:r w:rsidRPr="0093536E">
              <w:rPr>
                <w:sz w:val="20"/>
                <w:szCs w:val="20"/>
              </w:rPr>
              <w:t>validées maximum</w:t>
            </w:r>
          </w:p>
          <w:p w:rsidR="00D06180" w:rsidRPr="0093536E" w:rsidRDefault="00D06180" w:rsidP="00767631">
            <w:pPr>
              <w:jc w:val="center"/>
              <w:rPr>
                <w:rFonts w:ascii="OpenSymbol" w:hAnsi="OpenSymbol"/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Une conférence d’une durée inférieure à 2h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="00357266" w:rsidRPr="0093536E">
              <w:rPr>
                <w:b/>
                <w:sz w:val="20"/>
                <w:szCs w:val="20"/>
              </w:rPr>
              <w:t>1h</w:t>
            </w:r>
            <w:r w:rsidRPr="0093536E">
              <w:rPr>
                <w:sz w:val="20"/>
                <w:szCs w:val="20"/>
              </w:rPr>
              <w:t xml:space="preserve"> validée</w:t>
            </w:r>
          </w:p>
        </w:tc>
      </w:tr>
      <w:tr w:rsidR="00FA4A67" w:rsidRPr="0093536E" w:rsidTr="004753FC">
        <w:tc>
          <w:tcPr>
            <w:tcW w:w="4531" w:type="dxa"/>
            <w:shd w:val="clear" w:color="auto" w:fill="FFE599" w:themeFill="accent4" w:themeFillTint="66"/>
          </w:tcPr>
          <w:p w:rsidR="00FA4A67" w:rsidRPr="0093536E" w:rsidRDefault="00D06180" w:rsidP="00FA4A67">
            <w:pPr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Séminaire</w:t>
            </w:r>
          </w:p>
          <w:p w:rsidR="00D06180" w:rsidRPr="0093536E" w:rsidRDefault="00D06180" w:rsidP="00FA4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767631" w:rsidRPr="0093536E" w:rsidRDefault="00D06180" w:rsidP="00767631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Un séminaire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Pr="0093536E">
              <w:rPr>
                <w:b/>
                <w:sz w:val="20"/>
                <w:szCs w:val="20"/>
              </w:rPr>
              <w:t>2h</w:t>
            </w:r>
            <w:r w:rsidRPr="0093536E">
              <w:rPr>
                <w:sz w:val="20"/>
                <w:szCs w:val="20"/>
              </w:rPr>
              <w:t xml:space="preserve"> validées maximum</w:t>
            </w:r>
          </w:p>
          <w:p w:rsidR="00D06180" w:rsidRPr="0093536E" w:rsidRDefault="00D06180" w:rsidP="00767631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Un séminaire d’une durée inférieure à 2h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="00357266" w:rsidRPr="0093536E">
              <w:rPr>
                <w:b/>
                <w:sz w:val="20"/>
                <w:szCs w:val="20"/>
              </w:rPr>
              <w:t>1h</w:t>
            </w:r>
            <w:r w:rsidRPr="0093536E">
              <w:rPr>
                <w:sz w:val="20"/>
                <w:szCs w:val="20"/>
              </w:rPr>
              <w:t xml:space="preserve"> validée</w:t>
            </w:r>
          </w:p>
        </w:tc>
      </w:tr>
      <w:tr w:rsidR="00FA4A67" w:rsidRPr="0093536E" w:rsidTr="004753FC">
        <w:tc>
          <w:tcPr>
            <w:tcW w:w="4531" w:type="dxa"/>
            <w:shd w:val="clear" w:color="auto" w:fill="FFE599" w:themeFill="accent4" w:themeFillTint="66"/>
          </w:tcPr>
          <w:p w:rsidR="00FA4A67" w:rsidRPr="0093536E" w:rsidRDefault="00357266" w:rsidP="00FA4A67">
            <w:pPr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Cours de Master</w:t>
            </w:r>
          </w:p>
          <w:p w:rsidR="00357266" w:rsidRPr="0093536E" w:rsidRDefault="00357266" w:rsidP="00FA4A67">
            <w:pPr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(M1 et M2)</w:t>
            </w:r>
          </w:p>
        </w:tc>
        <w:tc>
          <w:tcPr>
            <w:tcW w:w="6096" w:type="dxa"/>
          </w:tcPr>
          <w:p w:rsidR="00FA4A67" w:rsidRPr="0093536E" w:rsidRDefault="00357266" w:rsidP="00FA4A67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Les cours inférieurs à 15h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b/>
                <w:sz w:val="20"/>
                <w:szCs w:val="20"/>
              </w:rPr>
              <w:t xml:space="preserve"> 5h</w:t>
            </w:r>
            <w:r w:rsidRPr="0093536E">
              <w:rPr>
                <w:sz w:val="20"/>
                <w:szCs w:val="20"/>
              </w:rPr>
              <w:t xml:space="preserve"> validées</w:t>
            </w:r>
          </w:p>
          <w:p w:rsidR="00357266" w:rsidRPr="0093536E" w:rsidRDefault="00357266" w:rsidP="00767631">
            <w:pPr>
              <w:jc w:val="center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Les cours de 15 à 30h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Pr="0093536E">
              <w:rPr>
                <w:b/>
                <w:sz w:val="20"/>
                <w:szCs w:val="20"/>
              </w:rPr>
              <w:t xml:space="preserve">10h </w:t>
            </w:r>
            <w:r w:rsidRPr="0093536E">
              <w:rPr>
                <w:sz w:val="20"/>
                <w:szCs w:val="20"/>
              </w:rPr>
              <w:t>validées</w:t>
            </w:r>
          </w:p>
        </w:tc>
      </w:tr>
      <w:tr w:rsidR="00FA4A67" w:rsidRPr="0093536E" w:rsidTr="004753FC">
        <w:tc>
          <w:tcPr>
            <w:tcW w:w="4531" w:type="dxa"/>
            <w:shd w:val="clear" w:color="auto" w:fill="FFE599" w:themeFill="accent4" w:themeFillTint="66"/>
          </w:tcPr>
          <w:p w:rsidR="00FA4A67" w:rsidRPr="0093536E" w:rsidRDefault="00357266" w:rsidP="00FA4A67">
            <w:pPr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Enseignements disciplinaires ou pluridisciplinaires organisés par l’ED</w:t>
            </w:r>
          </w:p>
          <w:p w:rsidR="00357266" w:rsidRPr="0093536E" w:rsidRDefault="00357266" w:rsidP="00FA4A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FA4A67" w:rsidRPr="0093536E" w:rsidRDefault="00767631" w:rsidP="00446319">
            <w:pPr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  <w:u w:val="single"/>
              </w:rPr>
              <w:t>Exemples</w:t>
            </w:r>
            <w:r w:rsidRPr="0093536E">
              <w:rPr>
                <w:sz w:val="20"/>
                <w:szCs w:val="20"/>
              </w:rPr>
              <w:t> :</w:t>
            </w:r>
          </w:p>
          <w:p w:rsidR="00767631" w:rsidRPr="0093536E" w:rsidRDefault="00767631" w:rsidP="0093536E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Méthodes de recherche quantitative et qualitative</w:t>
            </w:r>
          </w:p>
          <w:p w:rsidR="00767631" w:rsidRPr="0093536E" w:rsidRDefault="00767631" w:rsidP="0093536E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Entrainement à l’expression orale</w:t>
            </w:r>
          </w:p>
          <w:p w:rsidR="00767631" w:rsidRPr="0093536E" w:rsidRDefault="00767631" w:rsidP="0093536E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Théorie et philosophie du droit</w:t>
            </w:r>
          </w:p>
        </w:tc>
      </w:tr>
    </w:tbl>
    <w:p w:rsidR="00FA4A67" w:rsidRPr="0093536E" w:rsidRDefault="00FA4A67" w:rsidP="00FA4A67">
      <w:pPr>
        <w:jc w:val="center"/>
        <w:rPr>
          <w:sz w:val="20"/>
          <w:szCs w:val="20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67631" w:rsidRPr="0093536E" w:rsidTr="0093536E">
        <w:tc>
          <w:tcPr>
            <w:tcW w:w="10627" w:type="dxa"/>
            <w:shd w:val="clear" w:color="auto" w:fill="C5E0B3" w:themeFill="accent6" w:themeFillTint="66"/>
          </w:tcPr>
          <w:p w:rsidR="00767631" w:rsidRPr="004753FC" w:rsidRDefault="00767631" w:rsidP="00FA4A67">
            <w:pPr>
              <w:jc w:val="center"/>
            </w:pPr>
            <w:r w:rsidRPr="004753FC">
              <w:rPr>
                <w:b/>
              </w:rPr>
              <w:t>UNITE DE FORMATION « ETHIQUE DE LA RECHERCHE »</w:t>
            </w:r>
            <w:r w:rsidRPr="004753FC">
              <w:t xml:space="preserve"> : </w:t>
            </w:r>
            <w:r w:rsidRPr="00783D89">
              <w:rPr>
                <w:b/>
              </w:rPr>
              <w:t>10 heures au choix</w:t>
            </w:r>
          </w:p>
        </w:tc>
      </w:tr>
    </w:tbl>
    <w:p w:rsidR="00767631" w:rsidRPr="0093536E" w:rsidRDefault="0042340B" w:rsidP="0093536E">
      <w:pPr>
        <w:spacing w:after="0"/>
        <w:jc w:val="both"/>
        <w:rPr>
          <w:sz w:val="20"/>
          <w:szCs w:val="20"/>
        </w:rPr>
      </w:pPr>
      <w:r w:rsidRPr="0093536E">
        <w:rPr>
          <w:sz w:val="20"/>
          <w:szCs w:val="20"/>
          <w:u w:val="single"/>
        </w:rPr>
        <w:t>Exemples</w:t>
      </w:r>
      <w:r w:rsidRPr="0093536E">
        <w:rPr>
          <w:sz w:val="20"/>
          <w:szCs w:val="20"/>
        </w:rPr>
        <w:t> :</w:t>
      </w:r>
    </w:p>
    <w:p w:rsidR="0042340B" w:rsidRPr="0093536E" w:rsidRDefault="0042340B" w:rsidP="0042340B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3536E">
        <w:rPr>
          <w:sz w:val="20"/>
          <w:szCs w:val="20"/>
        </w:rPr>
        <w:t>Formation éthique de la recherche et intégrité scientifique</w:t>
      </w:r>
    </w:p>
    <w:p w:rsidR="0042340B" w:rsidRPr="0093536E" w:rsidRDefault="0042340B" w:rsidP="0042340B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3536E">
        <w:rPr>
          <w:sz w:val="20"/>
          <w:szCs w:val="20"/>
        </w:rPr>
        <w:t>Pratique du droit d’auteur et sensibilisation au plagiat</w:t>
      </w:r>
    </w:p>
    <w:p w:rsidR="0042340B" w:rsidRPr="0093536E" w:rsidRDefault="0042340B" w:rsidP="0093536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93536E">
        <w:rPr>
          <w:sz w:val="20"/>
          <w:szCs w:val="20"/>
        </w:rPr>
        <w:t>MOOC sur l’éthique de la recherche</w:t>
      </w:r>
      <w:r w:rsidRPr="0093536E">
        <w:rPr>
          <w:sz w:val="20"/>
          <w:szCs w:val="20"/>
        </w:rPr>
        <w:tab/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397"/>
        <w:gridCol w:w="5235"/>
      </w:tblGrid>
      <w:tr w:rsidR="0093536E" w:rsidRPr="0093536E" w:rsidTr="0093536E">
        <w:tc>
          <w:tcPr>
            <w:tcW w:w="10632" w:type="dxa"/>
            <w:gridSpan w:val="2"/>
            <w:shd w:val="clear" w:color="auto" w:fill="F7CAAC" w:themeFill="accent2" w:themeFillTint="66"/>
          </w:tcPr>
          <w:p w:rsidR="0093536E" w:rsidRPr="004753FC" w:rsidRDefault="0093536E" w:rsidP="0042340B">
            <w:pPr>
              <w:tabs>
                <w:tab w:val="left" w:pos="1668"/>
              </w:tabs>
              <w:jc w:val="center"/>
            </w:pPr>
            <w:r w:rsidRPr="004753FC">
              <w:rPr>
                <w:b/>
              </w:rPr>
              <w:t>UNITE DE FORMATION TRANSVERSALE</w:t>
            </w:r>
            <w:r w:rsidRPr="004753FC">
              <w:t xml:space="preserve"> : </w:t>
            </w:r>
            <w:r w:rsidRPr="00783D89">
              <w:rPr>
                <w:b/>
              </w:rPr>
              <w:t>30 heures au choix</w:t>
            </w:r>
          </w:p>
        </w:tc>
      </w:tr>
      <w:tr w:rsidR="0042340B" w:rsidRPr="0093536E" w:rsidTr="00FD59A5">
        <w:tc>
          <w:tcPr>
            <w:tcW w:w="5397" w:type="dxa"/>
            <w:shd w:val="clear" w:color="auto" w:fill="F7CAAC" w:themeFill="accent2" w:themeFillTint="66"/>
          </w:tcPr>
          <w:p w:rsidR="0042340B" w:rsidRPr="004753FC" w:rsidRDefault="0042340B" w:rsidP="0042340B">
            <w:pPr>
              <w:tabs>
                <w:tab w:val="left" w:pos="1668"/>
              </w:tabs>
              <w:jc w:val="center"/>
            </w:pPr>
            <w:r w:rsidRPr="004753FC">
              <w:t>Module</w:t>
            </w:r>
          </w:p>
        </w:tc>
        <w:tc>
          <w:tcPr>
            <w:tcW w:w="5235" w:type="dxa"/>
            <w:shd w:val="clear" w:color="auto" w:fill="F7CAAC" w:themeFill="accent2" w:themeFillTint="66"/>
          </w:tcPr>
          <w:p w:rsidR="0042340B" w:rsidRPr="004753FC" w:rsidRDefault="0042340B" w:rsidP="0042340B">
            <w:pPr>
              <w:tabs>
                <w:tab w:val="left" w:pos="1668"/>
              </w:tabs>
              <w:jc w:val="center"/>
            </w:pPr>
            <w:r w:rsidRPr="004753FC">
              <w:t>Exemples de formation</w:t>
            </w:r>
            <w:r w:rsidR="00A007EE" w:rsidRPr="004753FC">
              <w:t>/précisions</w:t>
            </w:r>
          </w:p>
        </w:tc>
      </w:tr>
      <w:tr w:rsidR="0042340B" w:rsidRPr="0093536E" w:rsidTr="004753FC">
        <w:tc>
          <w:tcPr>
            <w:tcW w:w="5397" w:type="dxa"/>
            <w:shd w:val="clear" w:color="auto" w:fill="FBE4D5" w:themeFill="accent2" w:themeFillTint="33"/>
          </w:tcPr>
          <w:p w:rsidR="00446319" w:rsidRDefault="00446319" w:rsidP="0042340B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</w:p>
          <w:p w:rsidR="0042340B" w:rsidRPr="0093536E" w:rsidRDefault="0042340B" w:rsidP="0042340B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Outils de la recherche</w:t>
            </w:r>
          </w:p>
        </w:tc>
        <w:tc>
          <w:tcPr>
            <w:tcW w:w="5235" w:type="dxa"/>
          </w:tcPr>
          <w:p w:rsidR="0042340B" w:rsidRPr="0093536E" w:rsidRDefault="0042340B" w:rsidP="0042340B">
            <w:pPr>
              <w:pStyle w:val="Paragraphedeliste"/>
              <w:numPr>
                <w:ilvl w:val="0"/>
                <w:numId w:val="2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Formation BU</w:t>
            </w:r>
          </w:p>
          <w:p w:rsidR="0042340B" w:rsidRPr="0093536E" w:rsidRDefault="0042340B" w:rsidP="0042340B">
            <w:pPr>
              <w:pStyle w:val="Paragraphedeliste"/>
              <w:numPr>
                <w:ilvl w:val="0"/>
                <w:numId w:val="2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Appui aux doctorants étrangers</w:t>
            </w:r>
          </w:p>
          <w:p w:rsidR="0042340B" w:rsidRPr="0093536E" w:rsidRDefault="0042340B" w:rsidP="0042340B">
            <w:pPr>
              <w:pStyle w:val="Paragraphedeliste"/>
              <w:numPr>
                <w:ilvl w:val="0"/>
                <w:numId w:val="2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Feuille de style bureautique</w:t>
            </w:r>
          </w:p>
        </w:tc>
      </w:tr>
      <w:tr w:rsidR="0042340B" w:rsidRPr="0093536E" w:rsidTr="004753FC">
        <w:tc>
          <w:tcPr>
            <w:tcW w:w="5397" w:type="dxa"/>
            <w:shd w:val="clear" w:color="auto" w:fill="FBE4D5" w:themeFill="accent2" w:themeFillTint="33"/>
          </w:tcPr>
          <w:p w:rsidR="004753FC" w:rsidRDefault="004753FC" w:rsidP="0042340B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</w:p>
          <w:p w:rsidR="004753FC" w:rsidRDefault="004753FC" w:rsidP="0042340B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</w:p>
          <w:p w:rsidR="0042340B" w:rsidRPr="0093536E" w:rsidRDefault="0042340B" w:rsidP="0042340B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Protection et sécurisation de la recherche</w:t>
            </w:r>
          </w:p>
        </w:tc>
        <w:tc>
          <w:tcPr>
            <w:tcW w:w="5235" w:type="dxa"/>
          </w:tcPr>
          <w:p w:rsidR="0042340B" w:rsidRPr="0093536E" w:rsidRDefault="0042340B" w:rsidP="0042340B">
            <w:pPr>
              <w:pStyle w:val="Paragraphedeliste"/>
              <w:numPr>
                <w:ilvl w:val="0"/>
                <w:numId w:val="3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Sensibilisation à l’intelligence économique</w:t>
            </w:r>
          </w:p>
          <w:p w:rsidR="0042340B" w:rsidRPr="0093536E" w:rsidRDefault="0042340B" w:rsidP="0042340B">
            <w:pPr>
              <w:pStyle w:val="Paragraphedeliste"/>
              <w:numPr>
                <w:ilvl w:val="0"/>
                <w:numId w:val="3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Sensibilisation à la sécurité à la protection des données</w:t>
            </w:r>
          </w:p>
          <w:p w:rsidR="0042340B" w:rsidRPr="0093536E" w:rsidRDefault="0042340B" w:rsidP="0042340B">
            <w:pPr>
              <w:pStyle w:val="Paragraphedeliste"/>
              <w:numPr>
                <w:ilvl w:val="0"/>
                <w:numId w:val="3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Sécurité du numérique</w:t>
            </w:r>
          </w:p>
          <w:p w:rsidR="0042340B" w:rsidRPr="0093536E" w:rsidRDefault="00A007EE" w:rsidP="0042340B">
            <w:pPr>
              <w:pStyle w:val="Paragraphedeliste"/>
              <w:numPr>
                <w:ilvl w:val="0"/>
                <w:numId w:val="3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Présentation de l’offre de service de la DSIUN</w:t>
            </w:r>
          </w:p>
        </w:tc>
      </w:tr>
      <w:tr w:rsidR="0042340B" w:rsidRPr="0093536E" w:rsidTr="004753FC">
        <w:tc>
          <w:tcPr>
            <w:tcW w:w="5397" w:type="dxa"/>
            <w:shd w:val="clear" w:color="auto" w:fill="FBE4D5" w:themeFill="accent2" w:themeFillTint="33"/>
          </w:tcPr>
          <w:p w:rsidR="0042340B" w:rsidRPr="0093536E" w:rsidRDefault="00A007EE" w:rsidP="00A007EE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Epistémologie et culture scientifique</w:t>
            </w:r>
          </w:p>
        </w:tc>
        <w:tc>
          <w:tcPr>
            <w:tcW w:w="5235" w:type="dxa"/>
          </w:tcPr>
          <w:p w:rsidR="0042340B" w:rsidRPr="0093536E" w:rsidRDefault="00A007EE" w:rsidP="0042340B">
            <w:p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Obligatoire pour les doctorants titulaires d’une emploi jeune de la région PACA</w:t>
            </w:r>
          </w:p>
        </w:tc>
      </w:tr>
      <w:tr w:rsidR="0042340B" w:rsidRPr="0093536E" w:rsidTr="004753FC">
        <w:tc>
          <w:tcPr>
            <w:tcW w:w="5397" w:type="dxa"/>
            <w:shd w:val="clear" w:color="auto" w:fill="FBE4D5" w:themeFill="accent2" w:themeFillTint="33"/>
          </w:tcPr>
          <w:p w:rsidR="004753FC" w:rsidRDefault="004753FC" w:rsidP="00A007EE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</w:p>
          <w:p w:rsidR="0042340B" w:rsidRPr="0093536E" w:rsidRDefault="00A007EE" w:rsidP="00A007EE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Valorisation de la recherche</w:t>
            </w:r>
          </w:p>
        </w:tc>
        <w:tc>
          <w:tcPr>
            <w:tcW w:w="5235" w:type="dxa"/>
          </w:tcPr>
          <w:p w:rsidR="0042340B" w:rsidRPr="0093536E" w:rsidRDefault="00A007EE" w:rsidP="00A007EE">
            <w:pPr>
              <w:pStyle w:val="Paragraphedeliste"/>
              <w:numPr>
                <w:ilvl w:val="0"/>
                <w:numId w:val="4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Action de médiation scientifique</w:t>
            </w:r>
          </w:p>
          <w:p w:rsidR="00A007EE" w:rsidRPr="0093536E" w:rsidRDefault="00A007EE" w:rsidP="00A007EE">
            <w:pPr>
              <w:pStyle w:val="Paragraphedeliste"/>
              <w:numPr>
                <w:ilvl w:val="0"/>
                <w:numId w:val="4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Formation au montage des projets</w:t>
            </w:r>
          </w:p>
          <w:p w:rsidR="00A007EE" w:rsidRPr="0093536E" w:rsidRDefault="00A007EE" w:rsidP="0093536E">
            <w:pPr>
              <w:pStyle w:val="Paragraphedeliste"/>
              <w:numPr>
                <w:ilvl w:val="0"/>
                <w:numId w:val="4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Site WEB recherche</w:t>
            </w:r>
          </w:p>
        </w:tc>
      </w:tr>
      <w:tr w:rsidR="0042340B" w:rsidRPr="0093536E" w:rsidTr="004753FC">
        <w:tc>
          <w:tcPr>
            <w:tcW w:w="5397" w:type="dxa"/>
            <w:shd w:val="clear" w:color="auto" w:fill="FBE4D5" w:themeFill="accent2" w:themeFillTint="33"/>
          </w:tcPr>
          <w:p w:rsidR="0042340B" w:rsidRPr="0093536E" w:rsidRDefault="00A007EE" w:rsidP="00A007EE">
            <w:pPr>
              <w:tabs>
                <w:tab w:val="left" w:pos="1668"/>
              </w:tabs>
              <w:jc w:val="center"/>
              <w:rPr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Langues</w:t>
            </w:r>
          </w:p>
        </w:tc>
        <w:tc>
          <w:tcPr>
            <w:tcW w:w="5235" w:type="dxa"/>
          </w:tcPr>
          <w:p w:rsidR="0042340B" w:rsidRPr="0093536E" w:rsidRDefault="0042340B" w:rsidP="0042340B">
            <w:p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</w:p>
        </w:tc>
      </w:tr>
      <w:tr w:rsidR="0042340B" w:rsidRPr="0093536E" w:rsidTr="004753FC">
        <w:tc>
          <w:tcPr>
            <w:tcW w:w="5397" w:type="dxa"/>
            <w:shd w:val="clear" w:color="auto" w:fill="FBE4D5" w:themeFill="accent2" w:themeFillTint="33"/>
          </w:tcPr>
          <w:p w:rsidR="004753FC" w:rsidRDefault="004753FC" w:rsidP="00A007EE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</w:p>
          <w:p w:rsidR="0042340B" w:rsidRPr="0093536E" w:rsidRDefault="00A007EE" w:rsidP="00A007EE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  <w:r w:rsidRPr="0093536E">
              <w:rPr>
                <w:b/>
                <w:sz w:val="20"/>
                <w:szCs w:val="20"/>
              </w:rPr>
              <w:t>Insertion professionnelle</w:t>
            </w:r>
          </w:p>
        </w:tc>
        <w:tc>
          <w:tcPr>
            <w:tcW w:w="5235" w:type="dxa"/>
          </w:tcPr>
          <w:p w:rsidR="0042340B" w:rsidRPr="0093536E" w:rsidRDefault="00A007EE" w:rsidP="00A007EE">
            <w:pPr>
              <w:pStyle w:val="Paragraphedeliste"/>
              <w:numPr>
                <w:ilvl w:val="0"/>
                <w:numId w:val="5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Formation CV et concours académiques</w:t>
            </w:r>
          </w:p>
          <w:p w:rsidR="00A007EE" w:rsidRPr="0093536E" w:rsidRDefault="00A007EE" w:rsidP="00A007EE">
            <w:pPr>
              <w:pStyle w:val="Paragraphedeliste"/>
              <w:numPr>
                <w:ilvl w:val="0"/>
                <w:numId w:val="5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Le doctorat et la création d’entreprise</w:t>
            </w:r>
          </w:p>
          <w:p w:rsidR="00A007EE" w:rsidRPr="0093536E" w:rsidRDefault="00A007EE" w:rsidP="00A007EE">
            <w:pPr>
              <w:pStyle w:val="Paragraphedeliste"/>
              <w:numPr>
                <w:ilvl w:val="0"/>
                <w:numId w:val="5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Le marché local de l’emploi</w:t>
            </w:r>
          </w:p>
          <w:p w:rsidR="00A007EE" w:rsidRPr="0093536E" w:rsidRDefault="00A007EE" w:rsidP="00A007EE">
            <w:pPr>
              <w:pStyle w:val="Paragraphedeliste"/>
              <w:numPr>
                <w:ilvl w:val="0"/>
                <w:numId w:val="5"/>
              </w:num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Obtenir un emploi non-académique</w:t>
            </w:r>
          </w:p>
        </w:tc>
      </w:tr>
      <w:tr w:rsidR="0042340B" w:rsidRPr="0093536E" w:rsidTr="004753FC">
        <w:tc>
          <w:tcPr>
            <w:tcW w:w="5397" w:type="dxa"/>
            <w:shd w:val="clear" w:color="auto" w:fill="FBE4D5" w:themeFill="accent2" w:themeFillTint="33"/>
          </w:tcPr>
          <w:p w:rsidR="004753FC" w:rsidRDefault="004753FC" w:rsidP="00A007EE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</w:p>
          <w:p w:rsidR="0042340B" w:rsidRPr="0093536E" w:rsidRDefault="00A007EE" w:rsidP="00A007EE">
            <w:pPr>
              <w:tabs>
                <w:tab w:val="left" w:pos="1668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93536E">
              <w:rPr>
                <w:b/>
                <w:sz w:val="20"/>
                <w:szCs w:val="20"/>
              </w:rPr>
              <w:t>Doctoriades</w:t>
            </w:r>
            <w:proofErr w:type="spellEnd"/>
          </w:p>
        </w:tc>
        <w:tc>
          <w:tcPr>
            <w:tcW w:w="5235" w:type="dxa"/>
          </w:tcPr>
          <w:p w:rsidR="004753FC" w:rsidRDefault="00A007EE" w:rsidP="0042340B">
            <w:p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La participation en qualité de </w:t>
            </w:r>
            <w:r w:rsidRPr="0093536E">
              <w:rPr>
                <w:sz w:val="20"/>
                <w:szCs w:val="20"/>
                <w:u w:val="single"/>
              </w:rPr>
              <w:t>contributeur</w:t>
            </w:r>
            <w:r w:rsidRPr="0093536E">
              <w:rPr>
                <w:sz w:val="20"/>
                <w:szCs w:val="20"/>
              </w:rPr>
              <w:t xml:space="preserve"> aux </w:t>
            </w:r>
            <w:proofErr w:type="spellStart"/>
            <w:r w:rsidRPr="0093536E">
              <w:rPr>
                <w:sz w:val="20"/>
                <w:szCs w:val="20"/>
              </w:rPr>
              <w:t>doctoriades</w:t>
            </w:r>
            <w:proofErr w:type="spellEnd"/>
          </w:p>
          <w:p w:rsidR="0042340B" w:rsidRPr="0093536E" w:rsidRDefault="00A007EE" w:rsidP="0042340B">
            <w:p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 xml:space="preserve">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Pr="0093536E">
              <w:rPr>
                <w:b/>
                <w:sz w:val="20"/>
                <w:szCs w:val="20"/>
              </w:rPr>
              <w:t>4h</w:t>
            </w:r>
            <w:r w:rsidRPr="0093536E">
              <w:rPr>
                <w:sz w:val="20"/>
                <w:szCs w:val="20"/>
              </w:rPr>
              <w:t xml:space="preserve"> </w:t>
            </w:r>
            <w:r w:rsidR="0093536E" w:rsidRPr="0093536E">
              <w:rPr>
                <w:sz w:val="20"/>
                <w:szCs w:val="20"/>
              </w:rPr>
              <w:t>validées</w:t>
            </w:r>
          </w:p>
          <w:p w:rsidR="0093536E" w:rsidRPr="0093536E" w:rsidRDefault="0093536E" w:rsidP="0042340B">
            <w:p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La participation à l</w:t>
            </w:r>
            <w:r w:rsidRPr="0093536E">
              <w:rPr>
                <w:sz w:val="20"/>
                <w:szCs w:val="20"/>
                <w:u w:val="single"/>
              </w:rPr>
              <w:t>’organisation</w:t>
            </w:r>
            <w:r w:rsidRPr="0093536E">
              <w:rPr>
                <w:sz w:val="20"/>
                <w:szCs w:val="20"/>
              </w:rPr>
              <w:t xml:space="preserve"> </w:t>
            </w:r>
            <w:r w:rsidRPr="0093536E">
              <w:rPr>
                <w:rFonts w:ascii="OpenSymbol" w:hAnsi="OpenSymbol"/>
                <w:sz w:val="20"/>
                <w:szCs w:val="20"/>
              </w:rPr>
              <w:t>⇒</w:t>
            </w:r>
            <w:r w:rsidRPr="0093536E">
              <w:rPr>
                <w:sz w:val="20"/>
                <w:szCs w:val="20"/>
              </w:rPr>
              <w:t xml:space="preserve"> </w:t>
            </w:r>
            <w:r w:rsidRPr="0093536E">
              <w:rPr>
                <w:b/>
                <w:sz w:val="20"/>
                <w:szCs w:val="20"/>
              </w:rPr>
              <w:t>10h</w:t>
            </w:r>
            <w:r w:rsidRPr="0093536E">
              <w:rPr>
                <w:sz w:val="20"/>
                <w:szCs w:val="20"/>
              </w:rPr>
              <w:t xml:space="preserve"> validées</w:t>
            </w:r>
          </w:p>
          <w:p w:rsidR="0093536E" w:rsidRPr="0093536E" w:rsidRDefault="0093536E" w:rsidP="0042340B">
            <w:p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93536E">
              <w:rPr>
                <w:sz w:val="20"/>
                <w:szCs w:val="20"/>
              </w:rPr>
              <w:t>(cumulables pour un même doctorant)</w:t>
            </w:r>
          </w:p>
        </w:tc>
      </w:tr>
    </w:tbl>
    <w:p w:rsidR="0042340B" w:rsidRDefault="0042340B" w:rsidP="00783D89">
      <w:pPr>
        <w:tabs>
          <w:tab w:val="left" w:pos="1668"/>
        </w:tabs>
        <w:spacing w:after="0"/>
        <w:ind w:left="360"/>
        <w:jc w:val="both"/>
      </w:pP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93536E" w:rsidTr="004753FC">
        <w:tc>
          <w:tcPr>
            <w:tcW w:w="10632" w:type="dxa"/>
            <w:shd w:val="clear" w:color="auto" w:fill="9CC2E5" w:themeFill="accent1" w:themeFillTint="99"/>
          </w:tcPr>
          <w:p w:rsidR="0093536E" w:rsidRDefault="0093536E" w:rsidP="0093536E">
            <w:pPr>
              <w:tabs>
                <w:tab w:val="left" w:pos="1668"/>
              </w:tabs>
              <w:jc w:val="center"/>
            </w:pPr>
            <w:r w:rsidRPr="0093536E">
              <w:rPr>
                <w:b/>
              </w:rPr>
              <w:t>FORMATION AU CHOIX DU DOCTORANT</w:t>
            </w:r>
            <w:r>
              <w:t> : 20 heures</w:t>
            </w:r>
          </w:p>
        </w:tc>
      </w:tr>
      <w:tr w:rsidR="0093536E" w:rsidTr="004753FC">
        <w:tc>
          <w:tcPr>
            <w:tcW w:w="10632" w:type="dxa"/>
          </w:tcPr>
          <w:p w:rsidR="0093536E" w:rsidRPr="004753FC" w:rsidRDefault="0093536E" w:rsidP="0042340B">
            <w:pPr>
              <w:tabs>
                <w:tab w:val="left" w:pos="1668"/>
              </w:tabs>
              <w:jc w:val="both"/>
              <w:rPr>
                <w:sz w:val="20"/>
                <w:szCs w:val="20"/>
              </w:rPr>
            </w:pPr>
            <w:r w:rsidRPr="004753FC">
              <w:rPr>
                <w:sz w:val="20"/>
                <w:szCs w:val="20"/>
              </w:rPr>
              <w:t>Le doctorant a le choix de suivre des formations disciplinaires ou pluridisciplinaires en fonction de ses besoins et de son projet professionnel</w:t>
            </w:r>
            <w:r w:rsidR="004753FC" w:rsidRPr="004753FC">
              <w:rPr>
                <w:sz w:val="20"/>
                <w:szCs w:val="20"/>
              </w:rPr>
              <w:t xml:space="preserve"> en accord avec le directeur de thèse et approuvées par le directeur de l’école doctorale.</w:t>
            </w:r>
          </w:p>
        </w:tc>
      </w:tr>
    </w:tbl>
    <w:p w:rsidR="00783D89" w:rsidRDefault="00783D89" w:rsidP="00783D89">
      <w:pPr>
        <w:tabs>
          <w:tab w:val="left" w:pos="1668"/>
        </w:tabs>
        <w:ind w:left="360"/>
        <w:jc w:val="center"/>
        <w:rPr>
          <w:sz w:val="20"/>
        </w:rPr>
      </w:pPr>
    </w:p>
    <w:p w:rsidR="0093536E" w:rsidRPr="00783D89" w:rsidRDefault="00783D89" w:rsidP="00783D89">
      <w:pPr>
        <w:tabs>
          <w:tab w:val="left" w:pos="1668"/>
        </w:tabs>
        <w:ind w:left="360"/>
        <w:jc w:val="center"/>
        <w:rPr>
          <w:b/>
        </w:rPr>
      </w:pPr>
      <w:r w:rsidRPr="00783D89">
        <w:rPr>
          <w:b/>
          <w:sz w:val="20"/>
        </w:rPr>
        <w:t>Au total : 90 heures à valider</w:t>
      </w:r>
    </w:p>
    <w:sectPr w:rsidR="0093536E" w:rsidRPr="00783D89" w:rsidSect="00767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D95"/>
    <w:multiLevelType w:val="hybridMultilevel"/>
    <w:tmpl w:val="9768F396"/>
    <w:lvl w:ilvl="0" w:tplc="6E6EE9E8">
      <w:start w:val="1"/>
      <w:numFmt w:val="bullet"/>
      <w:lvlText w:val="⇒"/>
      <w:lvlJc w:val="left"/>
      <w:pPr>
        <w:ind w:left="720" w:hanging="360"/>
      </w:pPr>
      <w:rPr>
        <w:rFonts w:ascii="OpenSymbol" w:hAnsi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08DC"/>
    <w:multiLevelType w:val="hybridMultilevel"/>
    <w:tmpl w:val="0CEAB03A"/>
    <w:lvl w:ilvl="0" w:tplc="6E6EE9E8">
      <w:start w:val="1"/>
      <w:numFmt w:val="bullet"/>
      <w:lvlText w:val="⇒"/>
      <w:lvlJc w:val="left"/>
      <w:pPr>
        <w:ind w:left="720" w:hanging="360"/>
      </w:pPr>
      <w:rPr>
        <w:rFonts w:ascii="OpenSymbol" w:hAnsi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1BF9"/>
    <w:multiLevelType w:val="hybridMultilevel"/>
    <w:tmpl w:val="96C22900"/>
    <w:lvl w:ilvl="0" w:tplc="6E6EE9E8">
      <w:start w:val="1"/>
      <w:numFmt w:val="bullet"/>
      <w:lvlText w:val="⇒"/>
      <w:lvlJc w:val="left"/>
      <w:pPr>
        <w:ind w:left="720" w:hanging="360"/>
      </w:pPr>
      <w:rPr>
        <w:rFonts w:ascii="OpenSymbol" w:hAnsi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5AC2"/>
    <w:multiLevelType w:val="hybridMultilevel"/>
    <w:tmpl w:val="2A24FCDE"/>
    <w:lvl w:ilvl="0" w:tplc="6E6EE9E8">
      <w:start w:val="1"/>
      <w:numFmt w:val="bullet"/>
      <w:lvlText w:val="⇒"/>
      <w:lvlJc w:val="left"/>
      <w:pPr>
        <w:ind w:left="720" w:hanging="360"/>
      </w:pPr>
      <w:rPr>
        <w:rFonts w:ascii="OpenSymbol" w:hAnsi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615F1"/>
    <w:multiLevelType w:val="hybridMultilevel"/>
    <w:tmpl w:val="CBCCE356"/>
    <w:lvl w:ilvl="0" w:tplc="6E6EE9E8">
      <w:start w:val="1"/>
      <w:numFmt w:val="bullet"/>
      <w:lvlText w:val="⇒"/>
      <w:lvlJc w:val="left"/>
      <w:pPr>
        <w:ind w:left="720" w:hanging="360"/>
      </w:pPr>
      <w:rPr>
        <w:rFonts w:ascii="OpenSymbol" w:hAnsi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847"/>
    <w:multiLevelType w:val="hybridMultilevel"/>
    <w:tmpl w:val="3F8E9582"/>
    <w:lvl w:ilvl="0" w:tplc="6E6EE9E8">
      <w:start w:val="1"/>
      <w:numFmt w:val="bullet"/>
      <w:lvlText w:val="⇒"/>
      <w:lvlJc w:val="left"/>
      <w:pPr>
        <w:ind w:left="720" w:hanging="360"/>
      </w:pPr>
      <w:rPr>
        <w:rFonts w:ascii="OpenSymbol" w:hAnsi="Open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67"/>
    <w:rsid w:val="002D2F9F"/>
    <w:rsid w:val="00357266"/>
    <w:rsid w:val="0042340B"/>
    <w:rsid w:val="00446319"/>
    <w:rsid w:val="004753FC"/>
    <w:rsid w:val="00767631"/>
    <w:rsid w:val="00783D89"/>
    <w:rsid w:val="00846B23"/>
    <w:rsid w:val="0093536E"/>
    <w:rsid w:val="00A007EE"/>
    <w:rsid w:val="00A47CA5"/>
    <w:rsid w:val="00D06180"/>
    <w:rsid w:val="00E1284F"/>
    <w:rsid w:val="00FA4A67"/>
    <w:rsid w:val="00FD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57AD2-0D1F-4AEA-A38C-91546A7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A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3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Fournier Carrié</dc:creator>
  <cp:lastModifiedBy>Stephanie Moutou</cp:lastModifiedBy>
  <cp:revision>2</cp:revision>
  <dcterms:created xsi:type="dcterms:W3CDTF">2024-06-12T08:07:00Z</dcterms:created>
  <dcterms:modified xsi:type="dcterms:W3CDTF">2024-06-12T08:07:00Z</dcterms:modified>
</cp:coreProperties>
</file>